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4" w:rsidRPr="00DE7E54" w:rsidRDefault="00DE7E54" w:rsidP="00DE7E54">
      <w:pPr>
        <w:spacing w:after="26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E54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Стандарты муниципальных услуг,</w:t>
      </w:r>
      <w:r w:rsidRPr="00DE7E54">
        <w:rPr>
          <w:rFonts w:ascii="Times New Roman" w:eastAsia="Times New Roman" w:hAnsi="Times New Roman" w:cs="Times New Roman"/>
          <w:sz w:val="24"/>
          <w:szCs w:val="24"/>
        </w:rPr>
        <w:br/>
      </w:r>
      <w:r w:rsidRPr="00DE7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предоставляемые Администрацией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Рубежненского </w:t>
      </w:r>
      <w:r w:rsidRPr="00DE7E54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DE7E54" w:rsidRDefault="00DE7E54" w:rsidP="00DE7E54">
      <w:pPr>
        <w:spacing w:after="26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E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услуги</w:t>
      </w:r>
    </w:p>
    <w:tbl>
      <w:tblPr>
        <w:tblStyle w:val="a8"/>
        <w:tblW w:w="9456" w:type="dxa"/>
        <w:jc w:val="center"/>
        <w:tblLook w:val="04A0"/>
      </w:tblPr>
      <w:tblGrid>
        <w:gridCol w:w="9456"/>
      </w:tblGrid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Прием документов, а также выдача разрешений о переводе или об отказе в переводе жилого помещения в </w:t>
            </w:r>
            <w:proofErr w:type="gramStart"/>
            <w:r w:rsidRPr="00E86FFB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E86FFB">
              <w:rPr>
                <w:rFonts w:ascii="Times New Roman" w:hAnsi="Times New Roman" w:cs="Times New Roman"/>
              </w:rPr>
              <w:t xml:space="preserve"> или нежилого помещения в жилое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Прием заявлений и выдача </w:t>
            </w:r>
            <w:hyperlink r:id="rId4" w:history="1">
              <w:r w:rsidRPr="00E86FFB">
                <w:rPr>
                  <w:rStyle w:val="a9"/>
                  <w:rFonts w:ascii="Times New Roman" w:hAnsi="Times New Roman" w:cs="Times New Roman"/>
                </w:rPr>
                <w:t>документов</w:t>
              </w:r>
            </w:hyperlink>
            <w:r w:rsidRPr="00E86FFB">
              <w:rPr>
                <w:rFonts w:ascii="Times New Roman" w:hAnsi="Times New Roman" w:cs="Times New Roman"/>
              </w:rPr>
              <w:t xml:space="preserve"> о согласовании переустройства и (или) перепланировки жилого помещения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Выдача </w:t>
            </w:r>
            <w:hyperlink r:id="rId5" w:history="1">
              <w:r w:rsidRPr="00E86FFB">
                <w:rPr>
                  <w:rStyle w:val="a9"/>
                  <w:rFonts w:ascii="Times New Roman" w:hAnsi="Times New Roman" w:cs="Times New Roman"/>
                </w:rPr>
                <w:t>разрешений</w:t>
              </w:r>
            </w:hyperlink>
            <w:r w:rsidRPr="00E86FFB">
              <w:rPr>
                <w:rFonts w:ascii="Times New Roman" w:hAnsi="Times New Roman" w:cs="Times New Roman"/>
              </w:rPr>
              <w:t xml:space="preserve">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Выдача </w:t>
            </w:r>
            <w:hyperlink r:id="rId6" w:history="1">
              <w:r w:rsidRPr="00E86FFB">
                <w:rPr>
                  <w:rStyle w:val="a9"/>
                  <w:rFonts w:ascii="Times New Roman" w:hAnsi="Times New Roman" w:cs="Times New Roman"/>
                </w:rPr>
                <w:t>разрешения</w:t>
              </w:r>
            </w:hyperlink>
            <w:r w:rsidRPr="00E86FFB">
              <w:rPr>
                <w:rFonts w:ascii="Times New Roman" w:hAnsi="Times New Roman" w:cs="Times New Roman"/>
              </w:rPr>
              <w:t xml:space="preserve"> при осуществлении строительства, реконструкции на строительство объектов капитального строительства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Выдача разрешений на установку рекламных конструкций на соответствующей территории, аннулирование таких разрешений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hyperlink r:id="rId7" w:history="1">
              <w:r w:rsidRPr="00E86FFB">
                <w:rPr>
                  <w:rStyle w:val="a9"/>
                  <w:rFonts w:ascii="Times New Roman" w:hAnsi="Times New Roman" w:cs="Times New Roman"/>
                </w:rPr>
                <w:t>домовой книги</w:t>
              </w:r>
            </w:hyperlink>
            <w:r w:rsidRPr="00E86FFB">
              <w:rPr>
                <w:rFonts w:ascii="Times New Roman" w:hAnsi="Times New Roman" w:cs="Times New Roman"/>
              </w:rPr>
              <w:t>, карточки учета собственника жилого помещения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Прием заявления о предоставлении молодым семьям социальных выплат на приобретение (строительство) жилья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едоставление информации о форме </w:t>
            </w:r>
            <w:r w:rsidRPr="00E86FFB">
              <w:rPr>
                <w:rFonts w:ascii="Times New Roman" w:hAnsi="Times New Roman" w:cs="Times New Roman"/>
              </w:rPr>
              <w:t>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без торгов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Выдача </w:t>
            </w:r>
            <w:hyperlink r:id="rId8" w:history="1">
              <w:r w:rsidRPr="00E86FFB">
                <w:rPr>
                  <w:rStyle w:val="a9"/>
                  <w:rFonts w:ascii="Times New Roman" w:hAnsi="Times New Roman" w:cs="Times New Roman"/>
                </w:rPr>
                <w:t>градостроительного плана</w:t>
              </w:r>
            </w:hyperlink>
            <w:r w:rsidRPr="00E86FFB">
              <w:rPr>
                <w:rFonts w:ascii="Times New Roman" w:hAnsi="Times New Roman" w:cs="Times New Roman"/>
              </w:rPr>
              <w:t xml:space="preserve"> земельного участка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строительству, реконструкции объектов индивидуального жилищного строительства, осуществляемому с привлечением средств материнского капитала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Согласование размещения и приемка в эксплуатацию нестационарных (временных, мобильных) объектов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Присвоение адреса объекту недвижимости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Выдача разрешения на совершение сделок с имуществом подопечных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 xml:space="preserve">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      </w:r>
            <w:hyperlink r:id="rId9" w:history="1">
              <w:r w:rsidRPr="00E86FFB">
                <w:rPr>
                  <w:rStyle w:val="a9"/>
                  <w:rFonts w:ascii="Times New Roman" w:hAnsi="Times New Roman" w:cs="Times New Roman"/>
                </w:rPr>
                <w:t>семейным законодательством</w:t>
              </w:r>
            </w:hyperlink>
            <w:r w:rsidRPr="00E86FFB">
              <w:rPr>
                <w:rFonts w:ascii="Times New Roman" w:hAnsi="Times New Roman" w:cs="Times New Roman"/>
              </w:rPr>
              <w:t xml:space="preserve"> Российской Федерации формах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Назначение единовременного пособия при передаче ребенка на воспитание в семью</w:t>
            </w: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Назначение денежных средств на содержание детей, находящихся под опекой или попечительством</w:t>
            </w:r>
          </w:p>
        </w:tc>
      </w:tr>
      <w:tr w:rsidR="00DE7E54" w:rsidRPr="00E86FFB" w:rsidTr="00AD24F5">
        <w:trPr>
          <w:trHeight w:val="570"/>
          <w:jc w:val="center"/>
        </w:trPr>
        <w:tc>
          <w:tcPr>
            <w:tcW w:w="4966" w:type="dxa"/>
            <w:vMerge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E86FFB" w:rsidTr="00AD24F5">
        <w:trPr>
          <w:trHeight w:val="276"/>
          <w:jc w:val="center"/>
        </w:trPr>
        <w:tc>
          <w:tcPr>
            <w:tcW w:w="4966" w:type="dxa"/>
            <w:vMerge w:val="restart"/>
          </w:tcPr>
          <w:p w:rsidR="00DE7E54" w:rsidRPr="00E86FFB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  <w:r w:rsidRPr="00E86FFB">
              <w:rPr>
                <w:rFonts w:ascii="Times New Roman" w:hAnsi="Times New Roman" w:cs="Times New Roman"/>
              </w:rPr>
              <w:t>Выдача разрешений на проведение землеустроительных работ</w:t>
            </w:r>
          </w:p>
        </w:tc>
      </w:tr>
      <w:tr w:rsidR="00DE7E54" w:rsidRPr="00AE7200" w:rsidTr="00AD24F5">
        <w:trPr>
          <w:trHeight w:val="479"/>
          <w:jc w:val="center"/>
        </w:trPr>
        <w:tc>
          <w:tcPr>
            <w:tcW w:w="4966" w:type="dxa"/>
            <w:vMerge/>
          </w:tcPr>
          <w:p w:rsidR="00DE7E54" w:rsidRPr="00AE7200" w:rsidRDefault="00DE7E54" w:rsidP="00AD24F5">
            <w:pPr>
              <w:pStyle w:val="aa"/>
              <w:ind w:left="-42" w:right="-108"/>
              <w:rPr>
                <w:rFonts w:ascii="Times New Roman" w:hAnsi="Times New Roman" w:cs="Times New Roman"/>
              </w:rPr>
            </w:pPr>
          </w:p>
        </w:tc>
      </w:tr>
      <w:tr w:rsidR="00DE7E54" w:rsidRPr="00A04C2D" w:rsidTr="00AD24F5">
        <w:trPr>
          <w:trHeight w:val="408"/>
          <w:jc w:val="center"/>
        </w:trPr>
        <w:tc>
          <w:tcPr>
            <w:tcW w:w="4966" w:type="dxa"/>
            <w:vMerge w:val="restart"/>
            <w:vAlign w:val="center"/>
          </w:tcPr>
          <w:p w:rsidR="00DE7E54" w:rsidRPr="00A04C2D" w:rsidRDefault="00DE7E54" w:rsidP="00AD24F5">
            <w:pPr>
              <w:pStyle w:val="aa"/>
              <w:spacing w:line="216" w:lineRule="auto"/>
              <w:ind w:left="-74" w:right="-96"/>
              <w:rPr>
                <w:rFonts w:ascii="Times New Roman" w:hAnsi="Times New Roman" w:cs="Times New Roman"/>
              </w:rPr>
            </w:pPr>
            <w:proofErr w:type="gramStart"/>
            <w:r w:rsidRPr="00A04C2D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      </w:r>
            <w:proofErr w:type="gramEnd"/>
            <w:r w:rsidRPr="00A04C2D">
              <w:rPr>
                <w:rFonts w:ascii="Times New Roman" w:hAnsi="Times New Roman" w:cs="Times New Roman"/>
              </w:rPr>
              <w:t xml:space="preserve"> или садового дома на земельном участке</w:t>
            </w:r>
          </w:p>
        </w:tc>
      </w:tr>
      <w:tr w:rsidR="00DE7E54" w:rsidRPr="00A04C2D" w:rsidTr="00AD24F5">
        <w:trPr>
          <w:trHeight w:val="3324"/>
          <w:jc w:val="center"/>
        </w:trPr>
        <w:tc>
          <w:tcPr>
            <w:tcW w:w="4966" w:type="dxa"/>
            <w:vMerge/>
            <w:vAlign w:val="center"/>
          </w:tcPr>
          <w:p w:rsidR="00DE7E54" w:rsidRPr="00A04C2D" w:rsidRDefault="00DE7E54" w:rsidP="00AD24F5">
            <w:pPr>
              <w:pStyle w:val="aa"/>
              <w:spacing w:line="216" w:lineRule="auto"/>
              <w:ind w:left="-74" w:right="-96"/>
              <w:rPr>
                <w:rFonts w:ascii="Times New Roman" w:hAnsi="Times New Roman" w:cs="Times New Roman"/>
              </w:rPr>
            </w:pPr>
          </w:p>
        </w:tc>
      </w:tr>
      <w:tr w:rsidR="00DE7E54" w:rsidRPr="00A04C2D" w:rsidTr="00AD24F5">
        <w:trPr>
          <w:trHeight w:val="372"/>
          <w:jc w:val="center"/>
        </w:trPr>
        <w:tc>
          <w:tcPr>
            <w:tcW w:w="4966" w:type="dxa"/>
            <w:vMerge w:val="restart"/>
            <w:vAlign w:val="center"/>
          </w:tcPr>
          <w:p w:rsidR="00DE7E54" w:rsidRPr="00A04C2D" w:rsidRDefault="00DE7E54" w:rsidP="00AD24F5">
            <w:pPr>
              <w:pStyle w:val="aa"/>
              <w:spacing w:line="216" w:lineRule="auto"/>
              <w:ind w:left="-74" w:right="-96"/>
              <w:rPr>
                <w:rFonts w:ascii="Times New Roman" w:hAnsi="Times New Roman" w:cs="Times New Roman"/>
              </w:rPr>
            </w:pPr>
            <w:r w:rsidRPr="00A04C2D">
              <w:rPr>
                <w:rFonts w:ascii="Times New Roman" w:hAnsi="Times New Roman" w:cs="Times New Roman"/>
              </w:rPr>
              <w:t xml:space="preserve">Выдача уведомления о соответствии (несоответствии) </w:t>
            </w:r>
            <w:r>
              <w:rPr>
                <w:rFonts w:ascii="Times New Roman" w:hAnsi="Times New Roman" w:cs="Times New Roman"/>
              </w:rPr>
              <w:t>построены,</w:t>
            </w:r>
            <w:r w:rsidRPr="00A04C2D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A04C2D">
              <w:rPr>
                <w:rFonts w:ascii="Times New Roman" w:hAnsi="Times New Roman" w:cs="Times New Roman"/>
              </w:rPr>
              <w:t>реконструированных</w:t>
            </w:r>
            <w:proofErr w:type="gramEnd"/>
            <w:r w:rsidRPr="00A04C2D">
              <w:rPr>
                <w:rFonts w:ascii="Times New Roman" w:hAnsi="Times New Roman" w:cs="Times New Roman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E7E54" w:rsidRPr="00A04C2D" w:rsidTr="00AD24F5">
        <w:trPr>
          <w:trHeight w:val="1116"/>
          <w:jc w:val="center"/>
        </w:trPr>
        <w:tc>
          <w:tcPr>
            <w:tcW w:w="4966" w:type="dxa"/>
            <w:vMerge/>
            <w:vAlign w:val="center"/>
          </w:tcPr>
          <w:p w:rsidR="00DE7E54" w:rsidRPr="00A04C2D" w:rsidRDefault="00DE7E54" w:rsidP="00AD24F5">
            <w:pPr>
              <w:pStyle w:val="aa"/>
              <w:spacing w:line="216" w:lineRule="auto"/>
              <w:ind w:left="-74" w:right="-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7E54" w:rsidRDefault="00DE7E54" w:rsidP="00DE7E54">
      <w:pPr>
        <w:spacing w:after="26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E54" w:rsidRPr="00DE7E54" w:rsidRDefault="00DE7E54" w:rsidP="00DE7E54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7E54" w:rsidRPr="00DE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DE7E54"/>
    <w:rsid w:val="00D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E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E54"/>
    <w:rPr>
      <w:b/>
      <w:bCs/>
    </w:rPr>
  </w:style>
  <w:style w:type="character" w:styleId="a5">
    <w:name w:val="Hyperlink"/>
    <w:basedOn w:val="a0"/>
    <w:uiPriority w:val="99"/>
    <w:semiHidden/>
    <w:unhideWhenUsed/>
    <w:rsid w:val="00DE7E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E54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DE7E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7E54"/>
    <w:rPr>
      <w:rFonts w:ascii="Arial" w:eastAsia="Times New Roman" w:hAnsi="Arial" w:cs="Arial"/>
      <w:vanish/>
      <w:sz w:val="16"/>
      <w:szCs w:val="16"/>
    </w:rPr>
  </w:style>
  <w:style w:type="character" w:customStyle="1" w:styleId="wp-calendar-nav-prev">
    <w:name w:val="wp-calendar-nav-prev"/>
    <w:basedOn w:val="a0"/>
    <w:rsid w:val="00DE7E54"/>
  </w:style>
  <w:style w:type="character" w:customStyle="1" w:styleId="pad">
    <w:name w:val="pad"/>
    <w:basedOn w:val="a0"/>
    <w:rsid w:val="00DE7E54"/>
  </w:style>
  <w:style w:type="character" w:customStyle="1" w:styleId="wp-calendar-nav-next">
    <w:name w:val="wp-calendar-nav-next"/>
    <w:basedOn w:val="a0"/>
    <w:rsid w:val="00DE7E54"/>
  </w:style>
  <w:style w:type="paragraph" w:styleId="a6">
    <w:name w:val="Balloon Text"/>
    <w:basedOn w:val="a"/>
    <w:link w:val="a7"/>
    <w:uiPriority w:val="99"/>
    <w:semiHidden/>
    <w:unhideWhenUsed/>
    <w:rsid w:val="00DE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E7E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DE7E54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DE7E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6272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5306.1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3191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43191.200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39946.2000" TargetMode="External"/><Relationship Id="rId9" Type="http://schemas.openxmlformats.org/officeDocument/2006/relationships/hyperlink" Target="garantF1://10005807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2022-07-14T08:47:00Z</dcterms:created>
  <dcterms:modified xsi:type="dcterms:W3CDTF">2022-07-14T08:47:00Z</dcterms:modified>
</cp:coreProperties>
</file>